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其</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他</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需</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要</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说</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明</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的</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事</w:t>
      </w:r>
    </w:p>
    <w:p>
      <w:pPr>
        <w:snapToGrid w:val="0"/>
        <w:spacing w:line="360" w:lineRule="auto"/>
        <w:jc w:val="center"/>
        <w:rPr>
          <w:rFonts w:ascii="黑体" w:hAnsi="黑体" w:eastAsia="黑体"/>
          <w:color w:val="auto"/>
          <w:kern w:val="1"/>
          <w:sz w:val="44"/>
          <w:szCs w:val="44"/>
        </w:rPr>
      </w:pPr>
      <w:r>
        <w:rPr>
          <w:rFonts w:hint="eastAsia" w:ascii="黑体" w:hAnsi="黑体" w:eastAsia="黑体"/>
          <w:color w:val="auto"/>
          <w:kern w:val="1"/>
          <w:sz w:val="44"/>
          <w:szCs w:val="44"/>
        </w:rPr>
        <w:t>项</w:t>
      </w:r>
    </w:p>
    <w:p>
      <w:pPr>
        <w:spacing w:line="360" w:lineRule="auto"/>
        <w:jc w:val="center"/>
        <w:rPr>
          <w:rFonts w:hint="eastAsia" w:cs="Times New Roman"/>
          <w:b/>
          <w:color w:val="auto"/>
          <w:sz w:val="30"/>
          <w:szCs w:val="30"/>
          <w:lang w:eastAsia="zh-CN"/>
        </w:rPr>
        <w:sectPr>
          <w:pgSz w:w="11906" w:h="16838"/>
          <w:pgMar w:top="1440" w:right="1440" w:bottom="1440" w:left="1440" w:header="851" w:footer="992" w:gutter="0"/>
          <w:cols w:space="425" w:num="1"/>
          <w:docGrid w:type="lines" w:linePitch="312" w:charSpace="0"/>
        </w:sectPr>
      </w:pPr>
    </w:p>
    <w:p>
      <w:pPr>
        <w:spacing w:line="360" w:lineRule="auto"/>
        <w:jc w:val="center"/>
        <w:rPr>
          <w:rFonts w:hint="eastAsia" w:cs="Times New Roman"/>
          <w:b/>
          <w:color w:val="auto"/>
          <w:sz w:val="30"/>
          <w:szCs w:val="30"/>
          <w:lang w:eastAsia="zh-CN"/>
        </w:rPr>
      </w:pPr>
      <w:r>
        <w:rPr>
          <w:rFonts w:hint="eastAsia" w:cs="Times New Roman"/>
          <w:b/>
          <w:color w:val="auto"/>
          <w:sz w:val="30"/>
          <w:szCs w:val="30"/>
          <w:lang w:eastAsia="zh-CN"/>
        </w:rPr>
        <w:t>成都经济技术开发区国有资产投资有限公司</w:t>
      </w:r>
    </w:p>
    <w:p>
      <w:pPr>
        <w:spacing w:line="360" w:lineRule="auto"/>
        <w:jc w:val="center"/>
        <w:rPr>
          <w:rFonts w:hint="eastAsia" w:cs="Times New Roman"/>
          <w:b/>
          <w:color w:val="auto"/>
          <w:sz w:val="30"/>
          <w:szCs w:val="30"/>
        </w:rPr>
      </w:pPr>
      <w:r>
        <w:rPr>
          <w:rFonts w:hint="eastAsia" w:cs="Times New Roman"/>
          <w:b/>
          <w:color w:val="auto"/>
          <w:sz w:val="30"/>
          <w:szCs w:val="30"/>
          <w:lang w:eastAsia="zh-CN"/>
        </w:rPr>
        <w:t>成都 220kV龙柏线迁改工程项目</w:t>
      </w:r>
    </w:p>
    <w:p>
      <w:pPr>
        <w:spacing w:line="360" w:lineRule="auto"/>
        <w:jc w:val="center"/>
        <w:rPr>
          <w:rFonts w:cs="Times New Roman"/>
          <w:b/>
          <w:color w:val="auto"/>
          <w:sz w:val="30"/>
          <w:szCs w:val="30"/>
        </w:rPr>
      </w:pPr>
      <w:r>
        <w:rPr>
          <w:rFonts w:hint="eastAsia" w:cs="Times New Roman"/>
          <w:b/>
          <w:color w:val="auto"/>
          <w:sz w:val="30"/>
          <w:szCs w:val="30"/>
        </w:rPr>
        <w:t>竣工环境保护验收</w:t>
      </w:r>
      <w:r>
        <w:rPr>
          <w:rFonts w:cs="Times New Roman"/>
          <w:b/>
          <w:color w:val="auto"/>
          <w:sz w:val="30"/>
          <w:szCs w:val="30"/>
        </w:rPr>
        <w:t>其他需要说明的事项</w:t>
      </w:r>
    </w:p>
    <w:p>
      <w:pPr>
        <w:spacing w:line="360" w:lineRule="auto"/>
        <w:ind w:firstLine="480" w:firstLineChars="200"/>
        <w:rPr>
          <w:rFonts w:cs="Times New Roman"/>
          <w:color w:val="auto"/>
          <w:sz w:val="24"/>
          <w:szCs w:val="24"/>
        </w:rPr>
      </w:pPr>
    </w:p>
    <w:p>
      <w:pPr>
        <w:spacing w:line="360" w:lineRule="auto"/>
        <w:ind w:firstLine="480" w:firstLineChars="200"/>
        <w:jc w:val="left"/>
        <w:rPr>
          <w:rFonts w:cs="Times New Roman"/>
          <w:color w:val="auto"/>
          <w:sz w:val="24"/>
          <w:szCs w:val="24"/>
        </w:rPr>
      </w:pPr>
      <w:r>
        <w:rPr>
          <w:rFonts w:hint="eastAsia" w:cs="Times New Roman"/>
          <w:color w:val="auto"/>
          <w:sz w:val="24"/>
          <w:szCs w:val="24"/>
        </w:rPr>
        <w:t>根据《建设项目竣工环境保护验收暂行办法》（国环规环评〔2017〕4号）中“其他需要说明的事项中应当如实记载环境保护设施设计、施工和验收过程简况、环境影响报告书（表）及其审批部门审批决定中提出的除环境保护设施外的其他环境保护对策措施的落实情况，以及整改工作情况等”的规定，</w:t>
      </w:r>
      <w:r>
        <w:rPr>
          <w:rFonts w:hint="eastAsia" w:cs="Times New Roman"/>
          <w:color w:val="auto"/>
          <w:sz w:val="24"/>
          <w:szCs w:val="24"/>
          <w:lang w:eastAsia="zh-CN"/>
        </w:rPr>
        <w:t>成都经济技术开发区国有资产投资有限公司</w:t>
      </w:r>
      <w:r>
        <w:rPr>
          <w:rFonts w:hint="eastAsia" w:cs="Times New Roman"/>
          <w:color w:val="auto"/>
          <w:sz w:val="24"/>
          <w:szCs w:val="24"/>
        </w:rPr>
        <w:t>现将</w:t>
      </w:r>
      <w:r>
        <w:rPr>
          <w:rFonts w:hint="eastAsia" w:cs="Times New Roman"/>
          <w:color w:val="auto"/>
          <w:sz w:val="24"/>
          <w:szCs w:val="24"/>
          <w:lang w:eastAsia="zh-CN"/>
        </w:rPr>
        <w:t>成都 220kV龙柏线迁改工程项目</w:t>
      </w:r>
      <w:r>
        <w:rPr>
          <w:rFonts w:hint="eastAsia" w:cs="Times New Roman"/>
          <w:color w:val="auto"/>
          <w:sz w:val="24"/>
          <w:szCs w:val="24"/>
        </w:rPr>
        <w:t>竣工环境保护验收其他需要说明的事项说明如下：</w:t>
      </w:r>
    </w:p>
    <w:p>
      <w:pPr>
        <w:pStyle w:val="11"/>
        <w:rPr>
          <w:rFonts w:ascii="Times New Roman" w:hAnsi="Times New Roman"/>
          <w:color w:val="auto"/>
        </w:rPr>
      </w:pPr>
      <w:bookmarkStart w:id="0" w:name="_Toc40429747"/>
      <w:bookmarkStart w:id="1" w:name="_Toc461524906"/>
      <w:bookmarkStart w:id="2" w:name="_Toc409512631"/>
      <w:bookmarkStart w:id="3" w:name="_Toc453947116"/>
      <w:r>
        <w:rPr>
          <w:rFonts w:ascii="Times New Roman" w:hAnsi="Times New Roman"/>
          <w:color w:val="auto"/>
        </w:rPr>
        <w:t xml:space="preserve">1 </w:t>
      </w:r>
      <w:r>
        <w:rPr>
          <w:rFonts w:hint="eastAsia" w:ascii="Times New Roman"/>
          <w:color w:val="auto"/>
        </w:rPr>
        <w:t>环境保护设施设计、施工和验收过程简况</w:t>
      </w:r>
      <w:bookmarkEnd w:id="0"/>
      <w:bookmarkEnd w:id="1"/>
      <w:bookmarkEnd w:id="2"/>
      <w:bookmarkEnd w:id="3"/>
    </w:p>
    <w:p>
      <w:pPr>
        <w:pStyle w:val="13"/>
        <w:rPr>
          <w:rFonts w:ascii="Times New Roman" w:hAnsi="Times New Roman"/>
          <w:color w:val="auto"/>
        </w:rPr>
      </w:pPr>
      <w:r>
        <w:rPr>
          <w:rFonts w:ascii="Times New Roman" w:hAnsi="Times New Roman"/>
          <w:color w:val="auto"/>
        </w:rPr>
        <w:t xml:space="preserve">1.1 </w:t>
      </w:r>
      <w:r>
        <w:rPr>
          <w:rFonts w:hint="eastAsia" w:ascii="Times New Roman"/>
          <w:color w:val="auto"/>
        </w:rPr>
        <w:t>设计简况</w:t>
      </w:r>
    </w:p>
    <w:p>
      <w:pPr>
        <w:spacing w:line="360" w:lineRule="auto"/>
        <w:ind w:firstLine="480" w:firstLineChars="200"/>
        <w:jc w:val="left"/>
        <w:rPr>
          <w:rFonts w:hint="default" w:cs="Times New Roman" w:eastAsiaTheme="minorEastAsia"/>
          <w:color w:val="auto"/>
          <w:sz w:val="24"/>
          <w:szCs w:val="24"/>
          <w:lang w:val="en-US" w:eastAsia="zh-CN"/>
        </w:rPr>
      </w:pPr>
      <w:r>
        <w:rPr>
          <w:rFonts w:hint="eastAsia" w:cs="Times New Roman"/>
          <w:color w:val="auto"/>
          <w:sz w:val="24"/>
          <w:szCs w:val="24"/>
          <w:lang w:eastAsia="zh-CN"/>
        </w:rPr>
        <w:t>根据《成都经济技术开发区国有资产投资有限公司成都 220kV龙柏线迁改工程项目环境影响报告表》及其批复文件（龙环评审[20</w:t>
      </w:r>
      <w:r>
        <w:rPr>
          <w:rFonts w:hint="eastAsia" w:cs="Times New Roman"/>
          <w:color w:val="auto"/>
          <w:sz w:val="24"/>
          <w:szCs w:val="24"/>
          <w:lang w:val="en-US" w:eastAsia="zh-CN"/>
        </w:rPr>
        <w:t>20</w:t>
      </w:r>
      <w:r>
        <w:rPr>
          <w:rFonts w:hint="eastAsia" w:cs="Times New Roman"/>
          <w:color w:val="auto"/>
          <w:sz w:val="24"/>
          <w:szCs w:val="24"/>
          <w:lang w:eastAsia="zh-CN"/>
        </w:rPr>
        <w:t>]</w:t>
      </w:r>
      <w:r>
        <w:rPr>
          <w:rFonts w:hint="eastAsia" w:cs="Times New Roman"/>
          <w:color w:val="auto"/>
          <w:sz w:val="24"/>
          <w:szCs w:val="24"/>
          <w:lang w:val="en-US" w:eastAsia="zh-CN"/>
        </w:rPr>
        <w:t>16号</w:t>
      </w:r>
      <w:r>
        <w:rPr>
          <w:rFonts w:hint="eastAsia" w:cs="Times New Roman"/>
          <w:color w:val="auto"/>
          <w:sz w:val="24"/>
          <w:szCs w:val="24"/>
          <w:lang w:eastAsia="zh-CN"/>
        </w:rPr>
        <w:t>），本工程仅为电缆隧道土建工程建设，项目运营期无“三废”产生及电磁辐射影响，因此无需对环保设施验收。</w:t>
      </w:r>
    </w:p>
    <w:p>
      <w:pPr>
        <w:pStyle w:val="13"/>
        <w:rPr>
          <w:rFonts w:ascii="Times New Roman" w:hAnsi="Times New Roman"/>
          <w:color w:val="auto"/>
        </w:rPr>
      </w:pPr>
      <w:r>
        <w:rPr>
          <w:rFonts w:ascii="Times New Roman" w:hAnsi="Times New Roman"/>
          <w:color w:val="auto"/>
        </w:rPr>
        <w:t xml:space="preserve">1.2 </w:t>
      </w:r>
      <w:r>
        <w:rPr>
          <w:rFonts w:hint="eastAsia" w:ascii="Times New Roman"/>
          <w:color w:val="auto"/>
        </w:rPr>
        <w:t>施工简况</w:t>
      </w:r>
    </w:p>
    <w:p>
      <w:pPr>
        <w:spacing w:line="360" w:lineRule="auto"/>
        <w:ind w:firstLine="480" w:firstLineChars="200"/>
        <w:rPr>
          <w:rFonts w:cs="Times New Roman"/>
          <w:color w:val="auto"/>
          <w:sz w:val="24"/>
          <w:szCs w:val="24"/>
        </w:rPr>
      </w:pPr>
      <w:r>
        <w:rPr>
          <w:rFonts w:hint="eastAsia" w:cs="Times New Roman"/>
          <w:color w:val="auto"/>
          <w:sz w:val="24"/>
          <w:szCs w:val="24"/>
          <w:lang w:eastAsia="zh-CN"/>
        </w:rPr>
        <w:t>成都经济技术开发区国有资产投资有限公司</w:t>
      </w:r>
      <w:r>
        <w:rPr>
          <w:rFonts w:hint="eastAsia" w:cs="Times New Roman"/>
          <w:color w:val="auto"/>
          <w:sz w:val="24"/>
          <w:szCs w:val="24"/>
        </w:rPr>
        <w:t>将环境保护设施纳入施工管理，安排专项资金落实环境保护设施的建设，项目建设过程中严格组织实施了环境影响报告</w:t>
      </w:r>
      <w:r>
        <w:rPr>
          <w:rFonts w:hint="eastAsia" w:cs="Times New Roman"/>
          <w:color w:val="auto"/>
          <w:sz w:val="24"/>
          <w:szCs w:val="24"/>
          <w:lang w:eastAsia="zh-CN"/>
        </w:rPr>
        <w:t>表</w:t>
      </w:r>
      <w:r>
        <w:rPr>
          <w:rFonts w:hint="eastAsia" w:cs="Times New Roman"/>
          <w:color w:val="auto"/>
          <w:sz w:val="24"/>
          <w:szCs w:val="24"/>
        </w:rPr>
        <w:t>及其审批决定中提出的环境保护对策措施。</w:t>
      </w:r>
    </w:p>
    <w:p>
      <w:pPr>
        <w:pStyle w:val="13"/>
        <w:rPr>
          <w:rFonts w:ascii="Times New Roman" w:hAnsi="Times New Roman"/>
          <w:color w:val="auto"/>
        </w:rPr>
      </w:pPr>
      <w:r>
        <w:rPr>
          <w:rFonts w:ascii="Times New Roman" w:hAnsi="Times New Roman"/>
          <w:color w:val="auto"/>
        </w:rPr>
        <w:t xml:space="preserve">1.3 </w:t>
      </w:r>
      <w:r>
        <w:rPr>
          <w:rFonts w:hint="eastAsia" w:ascii="Times New Roman"/>
          <w:color w:val="auto"/>
        </w:rPr>
        <w:t>验收过程简况</w:t>
      </w:r>
    </w:p>
    <w:p>
      <w:pPr>
        <w:spacing w:line="360" w:lineRule="auto"/>
        <w:ind w:firstLine="480" w:firstLineChars="200"/>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20</w:t>
      </w:r>
      <w:r>
        <w:rPr>
          <w:rFonts w:hint="eastAsia" w:cs="Times New Roman"/>
          <w:color w:val="auto"/>
          <w:sz w:val="24"/>
          <w:szCs w:val="24"/>
          <w:lang w:val="en-US" w:eastAsia="zh-CN"/>
        </w:rPr>
        <w:t>19</w:t>
      </w:r>
      <w:r>
        <w:rPr>
          <w:rFonts w:hint="eastAsia" w:ascii="Times New Roman" w:hAnsi="Times New Roman" w:cs="Times New Roman"/>
          <w:color w:val="auto"/>
          <w:sz w:val="24"/>
          <w:szCs w:val="24"/>
          <w:lang w:eastAsia="zh-CN"/>
        </w:rPr>
        <w:t>年</w:t>
      </w:r>
      <w:r>
        <w:rPr>
          <w:rFonts w:hint="eastAsia" w:cs="Times New Roman"/>
          <w:color w:val="auto"/>
          <w:sz w:val="24"/>
          <w:szCs w:val="24"/>
          <w:lang w:val="en-US" w:eastAsia="zh-CN"/>
        </w:rPr>
        <w:t>10</w:t>
      </w:r>
      <w:r>
        <w:rPr>
          <w:rFonts w:hint="eastAsia" w:ascii="Times New Roman" w:hAnsi="Times New Roman" w:cs="Times New Roman"/>
          <w:color w:val="auto"/>
          <w:sz w:val="24"/>
          <w:szCs w:val="24"/>
          <w:lang w:eastAsia="zh-CN"/>
        </w:rPr>
        <w:t>月，四川</w:t>
      </w:r>
      <w:r>
        <w:rPr>
          <w:rFonts w:hint="eastAsia" w:cs="Times New Roman"/>
          <w:color w:val="auto"/>
          <w:sz w:val="24"/>
          <w:szCs w:val="24"/>
          <w:lang w:eastAsia="zh-CN"/>
        </w:rPr>
        <w:t>云焜环境技术咨询有限公司</w:t>
      </w:r>
      <w:r>
        <w:rPr>
          <w:rFonts w:hint="eastAsia" w:ascii="Times New Roman" w:hAnsi="Times New Roman" w:cs="Times New Roman"/>
          <w:color w:val="auto"/>
          <w:sz w:val="24"/>
          <w:szCs w:val="24"/>
          <w:lang w:eastAsia="zh-CN"/>
        </w:rPr>
        <w:t>接收委托为我公司编制了《成都经济技术开发区国有资产投资有限公司成都 220kV龙柏线迁改工程项目环境影响报告表》，成都</w:t>
      </w:r>
      <w:r>
        <w:rPr>
          <w:rFonts w:hint="eastAsia" w:cs="Times New Roman"/>
          <w:color w:val="auto"/>
          <w:sz w:val="24"/>
          <w:szCs w:val="24"/>
          <w:lang w:eastAsia="zh-CN"/>
        </w:rPr>
        <w:t>经开区生态环境局</w:t>
      </w:r>
      <w:r>
        <w:rPr>
          <w:rFonts w:hint="eastAsia" w:ascii="Times New Roman" w:hAnsi="Times New Roman" w:cs="Times New Roman"/>
          <w:color w:val="auto"/>
          <w:sz w:val="24"/>
          <w:szCs w:val="24"/>
          <w:lang w:eastAsia="zh-CN"/>
        </w:rPr>
        <w:t>以《关于成都经济技术开发区国有资产投资有限公司成都 220kV龙柏线</w:t>
      </w:r>
      <w:r>
        <w:rPr>
          <w:rFonts w:hint="eastAsia" w:ascii="Times New Roman" w:hAnsi="Times New Roman" w:cs="Times New Roman"/>
          <w:color w:val="auto"/>
          <w:sz w:val="24"/>
          <w:szCs w:val="24"/>
          <w:highlight w:val="none"/>
          <w:lang w:eastAsia="zh-CN"/>
        </w:rPr>
        <w:t>迁改工程项目环境影响报告表</w:t>
      </w:r>
      <w:r>
        <w:rPr>
          <w:rFonts w:hint="eastAsia" w:cs="Times New Roman"/>
          <w:color w:val="auto"/>
          <w:sz w:val="24"/>
          <w:szCs w:val="24"/>
          <w:highlight w:val="none"/>
          <w:lang w:eastAsia="zh-CN"/>
        </w:rPr>
        <w:t>审查</w:t>
      </w:r>
      <w:r>
        <w:rPr>
          <w:rFonts w:hint="eastAsia" w:ascii="Times New Roman" w:hAnsi="Times New Roman" w:cs="Times New Roman"/>
          <w:color w:val="auto"/>
          <w:sz w:val="24"/>
          <w:szCs w:val="24"/>
          <w:highlight w:val="none"/>
          <w:lang w:eastAsia="zh-CN"/>
        </w:rPr>
        <w:t>批复》（龙环评审[20</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号</w:t>
      </w:r>
      <w:r>
        <w:rPr>
          <w:rFonts w:hint="eastAsia" w:ascii="Times New Roman" w:hAnsi="Times New Roman" w:cs="Times New Roman"/>
          <w:color w:val="auto"/>
          <w:sz w:val="24"/>
          <w:szCs w:val="24"/>
          <w:highlight w:val="none"/>
          <w:lang w:eastAsia="zh-CN"/>
        </w:rPr>
        <w:t>）进行批复。项目于20</w:t>
      </w:r>
      <w:r>
        <w:rPr>
          <w:rFonts w:hint="eastAsia" w:ascii="Times New Roman" w:hAnsi="Times New Roman"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月开工建设，20</w:t>
      </w:r>
      <w:r>
        <w:rPr>
          <w:rFonts w:hint="eastAsia" w:ascii="Times New Roman" w:hAnsi="Times New Roman"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val="en-US" w:eastAsia="zh-CN"/>
        </w:rPr>
        <w:t>12</w:t>
      </w:r>
      <w:r>
        <w:rPr>
          <w:rFonts w:hint="eastAsia" w:ascii="Times New Roman" w:hAnsi="Times New Roman" w:cs="Times New Roman"/>
          <w:color w:val="auto"/>
          <w:sz w:val="24"/>
          <w:szCs w:val="24"/>
          <w:highlight w:val="none"/>
          <w:lang w:eastAsia="zh-CN"/>
        </w:rPr>
        <w:t>月建成，</w:t>
      </w:r>
      <w:r>
        <w:rPr>
          <w:rFonts w:hint="eastAsia" w:ascii="Times New Roman" w:hAnsi="Times New Roman" w:cs="Times New Roman"/>
          <w:color w:val="auto"/>
          <w:sz w:val="24"/>
          <w:szCs w:val="24"/>
          <w:lang w:eastAsia="zh-CN"/>
        </w:rPr>
        <w:t>目前验收范围内实际建设内容与设计建设规模基本一致，主体工程与环保设施运行正常，基本符合验收监测条件。</w:t>
      </w:r>
    </w:p>
    <w:p>
      <w:pPr>
        <w:spacing w:line="360" w:lineRule="auto"/>
        <w:ind w:firstLine="480" w:firstLineChars="200"/>
        <w:rPr>
          <w:rFonts w:cs="Times New Roman"/>
          <w:color w:val="auto"/>
          <w:sz w:val="24"/>
          <w:szCs w:val="24"/>
        </w:rPr>
      </w:pPr>
      <w:r>
        <w:rPr>
          <w:rFonts w:hint="eastAsia" w:cs="Times New Roman"/>
          <w:color w:val="auto"/>
          <w:sz w:val="24"/>
          <w:szCs w:val="24"/>
        </w:rPr>
        <w:t>202</w:t>
      </w:r>
      <w:r>
        <w:rPr>
          <w:rFonts w:hint="eastAsia" w:cs="Times New Roman"/>
          <w:color w:val="auto"/>
          <w:sz w:val="24"/>
          <w:szCs w:val="24"/>
          <w:lang w:val="en-US" w:eastAsia="zh-CN"/>
        </w:rPr>
        <w:t>2</w:t>
      </w:r>
      <w:r>
        <w:rPr>
          <w:rFonts w:hint="eastAsia" w:cs="Times New Roman"/>
          <w:color w:val="auto"/>
          <w:sz w:val="24"/>
          <w:szCs w:val="24"/>
        </w:rPr>
        <w:t>年</w:t>
      </w:r>
      <w:r>
        <w:rPr>
          <w:rFonts w:hint="eastAsia" w:cs="Times New Roman"/>
          <w:color w:val="auto"/>
          <w:sz w:val="24"/>
          <w:szCs w:val="24"/>
          <w:lang w:val="en-US" w:eastAsia="zh-CN"/>
        </w:rPr>
        <w:t>6</w:t>
      </w:r>
      <w:r>
        <w:rPr>
          <w:rFonts w:hint="eastAsia" w:cs="Times New Roman"/>
          <w:color w:val="auto"/>
          <w:sz w:val="24"/>
          <w:szCs w:val="24"/>
        </w:rPr>
        <w:t>月，</w:t>
      </w:r>
      <w:r>
        <w:rPr>
          <w:rFonts w:hint="eastAsia" w:cs="Times New Roman"/>
          <w:color w:val="auto"/>
          <w:sz w:val="24"/>
          <w:szCs w:val="24"/>
          <w:lang w:eastAsia="zh-CN"/>
        </w:rPr>
        <w:t>成都经济技术开发区国有资产投资有限公司</w:t>
      </w:r>
      <w:r>
        <w:rPr>
          <w:rFonts w:hint="eastAsia" w:cs="Times New Roman"/>
          <w:color w:val="auto"/>
          <w:sz w:val="24"/>
          <w:szCs w:val="24"/>
        </w:rPr>
        <w:t>委托四川省国环环境工程咨询有限公司承担“</w:t>
      </w:r>
      <w:r>
        <w:rPr>
          <w:rFonts w:hint="eastAsia" w:cs="Times New Roman"/>
          <w:color w:val="auto"/>
          <w:sz w:val="24"/>
          <w:szCs w:val="24"/>
          <w:lang w:eastAsia="zh-CN"/>
        </w:rPr>
        <w:t>成都经济技术开发区国有资产投资有限公司成都 220kV龙柏线迁改工程项目</w:t>
      </w:r>
      <w:r>
        <w:rPr>
          <w:rFonts w:hint="eastAsia" w:cs="Times New Roman"/>
          <w:color w:val="auto"/>
          <w:sz w:val="24"/>
          <w:szCs w:val="24"/>
        </w:rPr>
        <w:t>”竣工环境保护验收工作</w:t>
      </w:r>
      <w:r>
        <w:rPr>
          <w:rFonts w:hint="eastAsia" w:cs="Times New Roman"/>
          <w:color w:val="auto"/>
          <w:sz w:val="24"/>
          <w:szCs w:val="24"/>
          <w:lang w:eastAsia="zh-CN"/>
        </w:rPr>
        <w:t>。</w:t>
      </w:r>
      <w:r>
        <w:rPr>
          <w:rFonts w:hint="eastAsia" w:ascii="Times New Roman" w:hAnsi="Times New Roman" w:cs="Times New Roman"/>
          <w:color w:val="auto"/>
          <w:sz w:val="24"/>
          <w:szCs w:val="24"/>
          <w:lang w:val="en-US" w:eastAsia="zh-CN"/>
        </w:rPr>
        <w:t>2022年8月，四川省国环环境工程咨询有限公司编制完成了《</w:t>
      </w:r>
      <w:r>
        <w:rPr>
          <w:rFonts w:hint="eastAsia" w:cs="Times New Roman"/>
          <w:color w:val="auto"/>
          <w:sz w:val="24"/>
          <w:szCs w:val="24"/>
          <w:lang w:eastAsia="zh-CN"/>
        </w:rPr>
        <w:t>成都经济技术开发区国有资产投资有限公司成都 220kV龙柏线迁改工程项目</w:t>
      </w:r>
      <w:r>
        <w:rPr>
          <w:rFonts w:hint="eastAsia" w:cs="Times New Roman"/>
          <w:color w:val="auto"/>
          <w:sz w:val="24"/>
          <w:szCs w:val="24"/>
        </w:rPr>
        <w:t>竣工环境保护验收</w:t>
      </w:r>
      <w:r>
        <w:rPr>
          <w:rFonts w:hint="eastAsia" w:cs="Times New Roman"/>
          <w:color w:val="auto"/>
          <w:sz w:val="24"/>
          <w:szCs w:val="24"/>
          <w:lang w:eastAsia="zh-CN"/>
        </w:rPr>
        <w:t>调</w:t>
      </w:r>
      <w:r>
        <w:rPr>
          <w:rFonts w:hint="eastAsia" w:cs="Times New Roman"/>
          <w:color w:val="auto"/>
          <w:sz w:val="24"/>
          <w:szCs w:val="24"/>
          <w:highlight w:val="none"/>
          <w:lang w:eastAsia="zh-CN"/>
        </w:rPr>
        <w:t>查表</w:t>
      </w:r>
      <w:r>
        <w:rPr>
          <w:rFonts w:hint="eastAsia" w:cs="Times New Roman"/>
          <w:color w:val="auto"/>
          <w:sz w:val="24"/>
          <w:szCs w:val="24"/>
          <w:highlight w:val="none"/>
        </w:rPr>
        <w:t>》；我公司于202</w:t>
      </w:r>
      <w:r>
        <w:rPr>
          <w:rFonts w:hint="eastAsia" w:cs="Times New Roman"/>
          <w:color w:val="auto"/>
          <w:sz w:val="24"/>
          <w:szCs w:val="24"/>
          <w:highlight w:val="none"/>
          <w:lang w:val="en-US" w:eastAsia="zh-CN"/>
        </w:rPr>
        <w:t>2</w:t>
      </w:r>
      <w:r>
        <w:rPr>
          <w:rFonts w:hint="eastAsia" w:cs="Times New Roman"/>
          <w:color w:val="auto"/>
          <w:sz w:val="24"/>
          <w:szCs w:val="24"/>
          <w:highlight w:val="none"/>
        </w:rPr>
        <w:t>年</w:t>
      </w:r>
      <w:r>
        <w:rPr>
          <w:rFonts w:hint="eastAsia" w:cs="Times New Roman"/>
          <w:color w:val="auto"/>
          <w:sz w:val="24"/>
          <w:szCs w:val="24"/>
          <w:highlight w:val="none"/>
          <w:lang w:val="en-US" w:eastAsia="zh-CN"/>
        </w:rPr>
        <w:t>8</w:t>
      </w:r>
      <w:r>
        <w:rPr>
          <w:rFonts w:hint="eastAsia" w:cs="Times New Roman"/>
          <w:color w:val="auto"/>
          <w:sz w:val="24"/>
          <w:szCs w:val="24"/>
          <w:highlight w:val="none"/>
        </w:rPr>
        <w:t>月</w:t>
      </w:r>
      <w:r>
        <w:rPr>
          <w:rFonts w:hint="eastAsia" w:cs="Times New Roman"/>
          <w:color w:val="auto"/>
          <w:sz w:val="24"/>
          <w:szCs w:val="24"/>
          <w:highlight w:val="none"/>
          <w:lang w:val="en-US" w:eastAsia="zh-CN"/>
        </w:rPr>
        <w:t>29</w:t>
      </w:r>
      <w:r>
        <w:rPr>
          <w:rFonts w:hint="eastAsia" w:cs="Times New Roman"/>
          <w:color w:val="auto"/>
          <w:sz w:val="24"/>
          <w:szCs w:val="24"/>
          <w:highlight w:val="none"/>
        </w:rPr>
        <w:t>日组织专家召开了该项目竣工环境保护验收会，对项目配套建设的污染防治设施、措施落实情况和运行效果组织了验收，验收意见结论为：</w:t>
      </w:r>
      <w:r>
        <w:rPr>
          <w:rFonts w:hint="eastAsia" w:cs="Times New Roman"/>
          <w:color w:val="auto"/>
          <w:sz w:val="24"/>
          <w:szCs w:val="24"/>
          <w:highlight w:val="none"/>
          <w:lang w:eastAsia="zh-CN"/>
        </w:rPr>
        <w:t>成都经济技术开发区国有</w:t>
      </w:r>
      <w:bookmarkStart w:id="4" w:name="_GoBack"/>
      <w:bookmarkEnd w:id="4"/>
      <w:r>
        <w:rPr>
          <w:rFonts w:hint="eastAsia" w:cs="Times New Roman"/>
          <w:color w:val="auto"/>
          <w:sz w:val="24"/>
          <w:szCs w:val="24"/>
          <w:highlight w:val="none"/>
          <w:lang w:eastAsia="zh-CN"/>
        </w:rPr>
        <w:t>资产投资有限公司成都 220kV龙柏线迁改工程项目</w:t>
      </w:r>
      <w:r>
        <w:rPr>
          <w:rFonts w:hint="eastAsia" w:cs="Times New Roman"/>
          <w:color w:val="auto"/>
          <w:sz w:val="24"/>
          <w:szCs w:val="24"/>
          <w:highlight w:val="none"/>
        </w:rPr>
        <w:t>环保审查、审批手续完备，配套的污染防治设施及措施基本按环评要求建成和落实，</w:t>
      </w:r>
      <w:r>
        <w:rPr>
          <w:rFonts w:hint="eastAsia" w:cs="Times New Roman"/>
          <w:color w:val="auto"/>
          <w:sz w:val="24"/>
          <w:szCs w:val="24"/>
          <w:highlight w:val="none"/>
          <w:lang w:val="en-US" w:eastAsia="zh-CN"/>
        </w:rPr>
        <w:t>通过环境保护竣工验收</w:t>
      </w:r>
      <w:r>
        <w:rPr>
          <w:rFonts w:hint="eastAsia" w:cs="Times New Roman"/>
          <w:color w:val="auto"/>
          <w:sz w:val="24"/>
          <w:szCs w:val="24"/>
          <w:highlight w:val="none"/>
        </w:rPr>
        <w:t>。</w:t>
      </w:r>
    </w:p>
    <w:p>
      <w:pPr>
        <w:pStyle w:val="13"/>
        <w:rPr>
          <w:rFonts w:ascii="Times New Roman" w:hAnsi="Times New Roman"/>
          <w:color w:val="auto"/>
        </w:rPr>
      </w:pPr>
      <w:r>
        <w:rPr>
          <w:rFonts w:ascii="Times New Roman" w:hAnsi="Times New Roman"/>
          <w:color w:val="auto"/>
        </w:rPr>
        <w:t xml:space="preserve">1.4 </w:t>
      </w:r>
      <w:r>
        <w:rPr>
          <w:rFonts w:hint="eastAsia" w:ascii="Times New Roman"/>
          <w:color w:val="auto"/>
        </w:rPr>
        <w:t>公众反馈意见及处理情况</w:t>
      </w:r>
    </w:p>
    <w:p>
      <w:pPr>
        <w:spacing w:line="360" w:lineRule="auto"/>
        <w:ind w:firstLine="480" w:firstLineChars="200"/>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成都经济技术开发区国有资产投资有限公司成都 220kV龙柏线迁改工程项目起于龙泉驿区蒲青路经至善南路、井山路、青台山路、车城大道止于成龙大道，项目设计、施工和验收期间未收到过公众反馈意见或投诉。</w:t>
      </w:r>
    </w:p>
    <w:p>
      <w:pPr>
        <w:pStyle w:val="11"/>
        <w:rPr>
          <w:rFonts w:ascii="Times New Roman" w:hAnsi="Times New Roman"/>
          <w:color w:val="auto"/>
        </w:rPr>
      </w:pPr>
      <w:r>
        <w:rPr>
          <w:rFonts w:ascii="Times New Roman" w:hAnsi="Times New Roman"/>
          <w:color w:val="auto"/>
        </w:rPr>
        <w:t xml:space="preserve">2 </w:t>
      </w:r>
      <w:r>
        <w:rPr>
          <w:rFonts w:hint="eastAsia" w:ascii="Times New Roman"/>
          <w:color w:val="auto"/>
        </w:rPr>
        <w:t>其他环境保护对策措施的落实情况</w:t>
      </w:r>
    </w:p>
    <w:p>
      <w:pPr>
        <w:spacing w:line="360" w:lineRule="auto"/>
        <w:ind w:firstLine="480" w:firstLineChars="200"/>
        <w:rPr>
          <w:rFonts w:cs="Times New Roman"/>
          <w:color w:val="auto"/>
          <w:sz w:val="24"/>
          <w:szCs w:val="24"/>
        </w:rPr>
      </w:pPr>
      <w:r>
        <w:rPr>
          <w:rFonts w:hint="eastAsia" w:cs="Times New Roman"/>
          <w:color w:val="auto"/>
          <w:sz w:val="24"/>
          <w:szCs w:val="24"/>
        </w:rPr>
        <w:t>《</w:t>
      </w:r>
      <w:r>
        <w:rPr>
          <w:rFonts w:cs="Times New Roman"/>
          <w:color w:val="auto"/>
          <w:sz w:val="24"/>
          <w:szCs w:val="24"/>
        </w:rPr>
        <w:t>环境影响报告</w:t>
      </w:r>
      <w:r>
        <w:rPr>
          <w:rFonts w:hint="eastAsia" w:cs="Times New Roman"/>
          <w:color w:val="auto"/>
          <w:sz w:val="24"/>
          <w:szCs w:val="24"/>
          <w:lang w:eastAsia="zh-CN"/>
        </w:rPr>
        <w:t>表</w:t>
      </w:r>
      <w:r>
        <w:rPr>
          <w:rFonts w:hint="eastAsia" w:cs="Times New Roman"/>
          <w:color w:val="auto"/>
          <w:sz w:val="24"/>
          <w:szCs w:val="24"/>
        </w:rPr>
        <w:t>》及其批复文件中提出的其他环境保护对策措施主要为环境风险防范措施及管理制度等，现将需要该部分措施落实情况梳理如下：</w:t>
      </w:r>
    </w:p>
    <w:p>
      <w:pPr>
        <w:pStyle w:val="13"/>
        <w:rPr>
          <w:rFonts w:ascii="Times New Roman" w:hAnsi="Times New Roman"/>
          <w:color w:val="auto"/>
        </w:rPr>
      </w:pPr>
      <w:r>
        <w:rPr>
          <w:rFonts w:ascii="Times New Roman" w:hAnsi="Times New Roman"/>
          <w:color w:val="auto"/>
        </w:rPr>
        <w:t xml:space="preserve">2.1 </w:t>
      </w:r>
      <w:r>
        <w:rPr>
          <w:rFonts w:hint="eastAsia" w:ascii="Times New Roman"/>
          <w:color w:val="auto"/>
        </w:rPr>
        <w:t>环保组织机构及规章制度</w:t>
      </w:r>
    </w:p>
    <w:p>
      <w:pPr>
        <w:spacing w:line="360" w:lineRule="auto"/>
        <w:ind w:firstLine="480" w:firstLineChars="200"/>
        <w:rPr>
          <w:rFonts w:cs="Times New Roman"/>
          <w:color w:val="auto"/>
          <w:sz w:val="24"/>
          <w:szCs w:val="24"/>
        </w:rPr>
      </w:pPr>
      <w:r>
        <w:rPr>
          <w:rFonts w:hint="eastAsia" w:cs="Times New Roman"/>
          <w:color w:val="auto"/>
          <w:sz w:val="24"/>
          <w:szCs w:val="24"/>
          <w:lang w:eastAsia="zh-CN"/>
        </w:rPr>
        <w:t>成都经济技术开发区国有资产投资有限公司</w:t>
      </w:r>
      <w:r>
        <w:rPr>
          <w:rFonts w:hint="eastAsia" w:cs="Times New Roman"/>
          <w:color w:val="auto"/>
          <w:sz w:val="24"/>
          <w:szCs w:val="24"/>
        </w:rPr>
        <w:t>设立了专门的环保管理部门，明确了机构人员组成及职责分工，建立了相关的环保制度，主要包括：①环境保护管理制度；②环保设施运营维护管理制度。</w:t>
      </w:r>
    </w:p>
    <w:p>
      <w:pPr>
        <w:pStyle w:val="13"/>
        <w:rPr>
          <w:rFonts w:ascii="Times New Roman" w:hAnsi="Times New Roman"/>
          <w:color w:val="auto"/>
        </w:rPr>
      </w:pPr>
      <w:r>
        <w:rPr>
          <w:rFonts w:ascii="Times New Roman" w:hAnsi="Times New Roman"/>
          <w:color w:val="auto"/>
        </w:rPr>
        <w:t xml:space="preserve">2.2 </w:t>
      </w:r>
      <w:r>
        <w:rPr>
          <w:rFonts w:hint="eastAsia" w:ascii="Times New Roman"/>
          <w:color w:val="auto"/>
        </w:rPr>
        <w:t>环境风险防范措施</w:t>
      </w:r>
    </w:p>
    <w:p>
      <w:pPr>
        <w:spacing w:line="360" w:lineRule="auto"/>
        <w:ind w:firstLine="480" w:firstLineChars="200"/>
        <w:rPr>
          <w:rFonts w:cs="Times New Roman"/>
          <w:color w:val="auto"/>
          <w:sz w:val="24"/>
          <w:szCs w:val="24"/>
        </w:rPr>
      </w:pPr>
      <w:r>
        <w:rPr>
          <w:color w:val="auto"/>
          <w:sz w:val="24"/>
          <w:szCs w:val="24"/>
        </w:rPr>
        <w:t>制定了</w:t>
      </w:r>
      <w:r>
        <w:rPr>
          <w:rFonts w:hint="eastAsia"/>
          <w:color w:val="auto"/>
          <w:sz w:val="24"/>
          <w:szCs w:val="24"/>
        </w:rPr>
        <w:t>《突发环境事件应急预案》</w:t>
      </w:r>
      <w:r>
        <w:rPr>
          <w:rFonts w:hint="eastAsia" w:cs="Times New Roman"/>
          <w:color w:val="auto"/>
          <w:sz w:val="24"/>
          <w:szCs w:val="24"/>
        </w:rPr>
        <w:t>。</w:t>
      </w:r>
    </w:p>
    <w:p>
      <w:pPr>
        <w:pStyle w:val="11"/>
        <w:rPr>
          <w:rFonts w:ascii="Times New Roman" w:hAnsi="Times New Roman"/>
          <w:color w:val="auto"/>
        </w:rPr>
      </w:pPr>
      <w:r>
        <w:rPr>
          <w:rFonts w:ascii="Times New Roman" w:hAnsi="Times New Roman"/>
          <w:color w:val="auto"/>
        </w:rPr>
        <w:t xml:space="preserve">3 </w:t>
      </w:r>
      <w:r>
        <w:rPr>
          <w:rFonts w:hint="eastAsia" w:ascii="Times New Roman"/>
          <w:color w:val="auto"/>
        </w:rPr>
        <w:t>整改工作情况</w:t>
      </w:r>
    </w:p>
    <w:p>
      <w:pPr>
        <w:spacing w:line="360" w:lineRule="auto"/>
        <w:ind w:firstLine="480" w:firstLineChars="200"/>
        <w:rPr>
          <w:rFonts w:cs="Times New Roman"/>
          <w:color w:val="auto"/>
          <w:sz w:val="24"/>
          <w:szCs w:val="24"/>
        </w:rPr>
      </w:pPr>
      <w:r>
        <w:rPr>
          <w:rFonts w:cs="Times New Roman"/>
          <w:color w:val="auto"/>
          <w:sz w:val="24"/>
          <w:szCs w:val="24"/>
        </w:rPr>
        <w:t>无整改情况</w:t>
      </w:r>
      <w:r>
        <w:rPr>
          <w:rFonts w:hint="eastAsia" w:cs="Times New Roman"/>
          <w:color w:val="auto"/>
          <w:sz w:val="24"/>
          <w:szCs w:val="24"/>
        </w:rPr>
        <w:t>。</w:t>
      </w:r>
    </w:p>
    <w:p>
      <w:pPr>
        <w:spacing w:line="360" w:lineRule="auto"/>
        <w:ind w:firstLine="480" w:firstLineChars="200"/>
        <w:rPr>
          <w:rFonts w:cs="Times New Roman"/>
          <w:color w:val="auto"/>
          <w:sz w:val="24"/>
          <w:szCs w:val="24"/>
        </w:rPr>
      </w:pPr>
    </w:p>
    <w:p>
      <w:pPr>
        <w:spacing w:line="360" w:lineRule="auto"/>
        <w:ind w:firstLine="480" w:firstLineChars="200"/>
        <w:rPr>
          <w:rFonts w:cs="Times New Roman"/>
          <w:color w:val="auto"/>
          <w:sz w:val="24"/>
          <w:szCs w:val="24"/>
        </w:rPr>
      </w:pPr>
    </w:p>
    <w:p>
      <w:pPr>
        <w:spacing w:line="360" w:lineRule="auto"/>
        <w:ind w:right="240" w:firstLine="480" w:firstLineChars="200"/>
        <w:jc w:val="right"/>
        <w:rPr>
          <w:rFonts w:hint="eastAsia" w:cs="Times New Roman"/>
          <w:color w:val="auto"/>
          <w:sz w:val="24"/>
          <w:szCs w:val="24"/>
          <w:highlight w:val="none"/>
          <w:lang w:eastAsia="zh-CN"/>
        </w:rPr>
      </w:pPr>
      <w:r>
        <w:rPr>
          <w:rFonts w:hint="eastAsia" w:cs="Times New Roman"/>
          <w:color w:val="auto"/>
          <w:sz w:val="24"/>
          <w:szCs w:val="24"/>
          <w:lang w:eastAsia="zh-CN"/>
        </w:rPr>
        <w:t>成都经济技术开发区国</w:t>
      </w:r>
      <w:r>
        <w:rPr>
          <w:rFonts w:hint="eastAsia" w:cs="Times New Roman"/>
          <w:color w:val="auto"/>
          <w:sz w:val="24"/>
          <w:szCs w:val="24"/>
          <w:highlight w:val="none"/>
          <w:lang w:eastAsia="zh-CN"/>
        </w:rPr>
        <w:t>有资产投资有限公司</w:t>
      </w:r>
    </w:p>
    <w:p>
      <w:pPr>
        <w:spacing w:line="360" w:lineRule="auto"/>
        <w:ind w:right="240" w:firstLine="480" w:firstLineChars="200"/>
        <w:jc w:val="right"/>
        <w:rPr>
          <w:rFonts w:cs="Times New Roman"/>
          <w:color w:val="auto"/>
          <w:sz w:val="24"/>
          <w:szCs w:val="24"/>
          <w:highlight w:val="none"/>
        </w:rPr>
      </w:pPr>
      <w:r>
        <w:rPr>
          <w:rFonts w:hint="eastAsia" w:cs="Times New Roman"/>
          <w:color w:val="auto"/>
          <w:sz w:val="24"/>
          <w:szCs w:val="24"/>
          <w:highlight w:val="none"/>
        </w:rPr>
        <w:t>202</w:t>
      </w:r>
      <w:r>
        <w:rPr>
          <w:rFonts w:hint="eastAsia" w:cs="Times New Roman"/>
          <w:color w:val="auto"/>
          <w:sz w:val="24"/>
          <w:szCs w:val="24"/>
          <w:highlight w:val="none"/>
          <w:lang w:val="en-US" w:eastAsia="zh-CN"/>
        </w:rPr>
        <w:t>2</w:t>
      </w:r>
      <w:r>
        <w:rPr>
          <w:rFonts w:hint="eastAsia" w:cs="Times New Roman"/>
          <w:color w:val="auto"/>
          <w:sz w:val="24"/>
          <w:szCs w:val="24"/>
          <w:highlight w:val="none"/>
        </w:rPr>
        <w:t>年</w:t>
      </w:r>
      <w:r>
        <w:rPr>
          <w:rFonts w:hint="eastAsia" w:cs="Times New Roman"/>
          <w:color w:val="auto"/>
          <w:sz w:val="24"/>
          <w:szCs w:val="24"/>
          <w:highlight w:val="none"/>
          <w:lang w:val="en-US" w:eastAsia="zh-CN"/>
        </w:rPr>
        <w:t>8</w:t>
      </w:r>
      <w:r>
        <w:rPr>
          <w:rFonts w:hint="eastAsia" w:cs="Times New Roman"/>
          <w:color w:val="auto"/>
          <w:sz w:val="24"/>
          <w:szCs w:val="24"/>
          <w:highlight w:val="none"/>
        </w:rPr>
        <w:t>月</w:t>
      </w:r>
      <w:r>
        <w:rPr>
          <w:rFonts w:hint="eastAsia" w:cs="Times New Roman"/>
          <w:color w:val="auto"/>
          <w:sz w:val="24"/>
          <w:szCs w:val="24"/>
          <w:highlight w:val="none"/>
          <w:lang w:val="en-US" w:eastAsia="zh-CN"/>
        </w:rPr>
        <w:t>29</w:t>
      </w:r>
      <w:r>
        <w:rPr>
          <w:rFonts w:hint="eastAsia" w:cs="Times New Roman"/>
          <w:color w:val="auto"/>
          <w:sz w:val="24"/>
          <w:szCs w:val="24"/>
          <w:highlight w:val="none"/>
        </w:rPr>
        <w:t>日</w:t>
      </w:r>
    </w:p>
    <w:p>
      <w:pPr>
        <w:spacing w:line="360" w:lineRule="auto"/>
        <w:ind w:right="480" w:firstLine="480" w:firstLineChars="200"/>
        <w:jc w:val="right"/>
        <w:rPr>
          <w:rFonts w:cs="Times New Roman"/>
          <w:color w:val="auto"/>
          <w:sz w:val="24"/>
          <w:szCs w:val="24"/>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DE0082"/>
    <w:rsid w:val="000569DA"/>
    <w:rsid w:val="00141E3B"/>
    <w:rsid w:val="00163C52"/>
    <w:rsid w:val="00180409"/>
    <w:rsid w:val="00191735"/>
    <w:rsid w:val="001A499D"/>
    <w:rsid w:val="00273C0D"/>
    <w:rsid w:val="002818B0"/>
    <w:rsid w:val="0028283B"/>
    <w:rsid w:val="0030478E"/>
    <w:rsid w:val="00350A2D"/>
    <w:rsid w:val="0039654C"/>
    <w:rsid w:val="003E14DF"/>
    <w:rsid w:val="00442669"/>
    <w:rsid w:val="00487CDC"/>
    <w:rsid w:val="00495E43"/>
    <w:rsid w:val="004D6982"/>
    <w:rsid w:val="005B724F"/>
    <w:rsid w:val="005F5C26"/>
    <w:rsid w:val="00611193"/>
    <w:rsid w:val="00646564"/>
    <w:rsid w:val="006541E0"/>
    <w:rsid w:val="00661716"/>
    <w:rsid w:val="00693A28"/>
    <w:rsid w:val="007B39A6"/>
    <w:rsid w:val="00836271"/>
    <w:rsid w:val="008E08F0"/>
    <w:rsid w:val="008F6D72"/>
    <w:rsid w:val="00954D3B"/>
    <w:rsid w:val="009872C8"/>
    <w:rsid w:val="009D0FA2"/>
    <w:rsid w:val="00A32CDB"/>
    <w:rsid w:val="00A33CDF"/>
    <w:rsid w:val="00AE5234"/>
    <w:rsid w:val="00B42B6A"/>
    <w:rsid w:val="00B66018"/>
    <w:rsid w:val="00B71BB8"/>
    <w:rsid w:val="00BC5C76"/>
    <w:rsid w:val="00CE3682"/>
    <w:rsid w:val="00DE0082"/>
    <w:rsid w:val="00EB6979"/>
    <w:rsid w:val="03337D1B"/>
    <w:rsid w:val="03720C1F"/>
    <w:rsid w:val="04531FA4"/>
    <w:rsid w:val="075151BA"/>
    <w:rsid w:val="09EC2923"/>
    <w:rsid w:val="0A0D7099"/>
    <w:rsid w:val="0A9D666F"/>
    <w:rsid w:val="0B3B07CF"/>
    <w:rsid w:val="0C4F1BEB"/>
    <w:rsid w:val="142C5DFB"/>
    <w:rsid w:val="17606B7B"/>
    <w:rsid w:val="17717043"/>
    <w:rsid w:val="18956BD8"/>
    <w:rsid w:val="1D2B7B0B"/>
    <w:rsid w:val="1DB21FDA"/>
    <w:rsid w:val="1FAF67D1"/>
    <w:rsid w:val="216B5B9E"/>
    <w:rsid w:val="21752D3E"/>
    <w:rsid w:val="22097CEF"/>
    <w:rsid w:val="26031625"/>
    <w:rsid w:val="264D4DE2"/>
    <w:rsid w:val="269C55D5"/>
    <w:rsid w:val="276D655D"/>
    <w:rsid w:val="28573466"/>
    <w:rsid w:val="2BFA388B"/>
    <w:rsid w:val="2D2105E2"/>
    <w:rsid w:val="30EC5135"/>
    <w:rsid w:val="317B63DD"/>
    <w:rsid w:val="34BD546C"/>
    <w:rsid w:val="364820A6"/>
    <w:rsid w:val="39F079F9"/>
    <w:rsid w:val="3C934AFA"/>
    <w:rsid w:val="40004E92"/>
    <w:rsid w:val="42F02098"/>
    <w:rsid w:val="47BD2910"/>
    <w:rsid w:val="497707F0"/>
    <w:rsid w:val="4996306D"/>
    <w:rsid w:val="4A361719"/>
    <w:rsid w:val="523835F9"/>
    <w:rsid w:val="55211DD0"/>
    <w:rsid w:val="57D871AD"/>
    <w:rsid w:val="57EF62EE"/>
    <w:rsid w:val="583B4482"/>
    <w:rsid w:val="58F9677E"/>
    <w:rsid w:val="590E0236"/>
    <w:rsid w:val="5EFD0600"/>
    <w:rsid w:val="60321C88"/>
    <w:rsid w:val="6074044E"/>
    <w:rsid w:val="617C3A5E"/>
    <w:rsid w:val="621912AD"/>
    <w:rsid w:val="633A3BD0"/>
    <w:rsid w:val="64247427"/>
    <w:rsid w:val="64F41F45"/>
    <w:rsid w:val="65910ABC"/>
    <w:rsid w:val="671B1623"/>
    <w:rsid w:val="690F3409"/>
    <w:rsid w:val="6AB951F1"/>
    <w:rsid w:val="6DAC289B"/>
    <w:rsid w:val="6E9E0230"/>
    <w:rsid w:val="6EEC6074"/>
    <w:rsid w:val="701D465E"/>
    <w:rsid w:val="72125484"/>
    <w:rsid w:val="723E79B0"/>
    <w:rsid w:val="740A314B"/>
    <w:rsid w:val="74371337"/>
    <w:rsid w:val="778E4093"/>
    <w:rsid w:val="7A852F01"/>
    <w:rsid w:val="7EE2719E"/>
    <w:rsid w:val="7F1430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w:basedOn w:val="1"/>
    <w:semiHidden/>
    <w:unhideWhenUsed/>
    <w:uiPriority w:val="99"/>
    <w:pPr>
      <w:spacing w:after="120" w:afterLines="0" w:afterAutospacing="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uiPriority w:val="99"/>
    <w:pPr>
      <w:ind w:firstLine="420" w:firstLineChars="200"/>
    </w:pPr>
  </w:style>
  <w:style w:type="character" w:customStyle="1" w:styleId="9">
    <w:name w:val="页眉 Char"/>
    <w:basedOn w:val="8"/>
    <w:link w:val="5"/>
    <w:qFormat/>
    <w:uiPriority w:val="99"/>
    <w:rPr>
      <w:rFonts w:ascii="Times New Roman" w:hAnsi="Times New Roman"/>
      <w:sz w:val="18"/>
      <w:szCs w:val="18"/>
    </w:rPr>
  </w:style>
  <w:style w:type="character" w:customStyle="1" w:styleId="10">
    <w:name w:val="页脚 Char"/>
    <w:basedOn w:val="8"/>
    <w:link w:val="4"/>
    <w:qFormat/>
    <w:uiPriority w:val="99"/>
    <w:rPr>
      <w:rFonts w:ascii="Times New Roman" w:hAnsi="Times New Roman"/>
      <w:sz w:val="18"/>
      <w:szCs w:val="18"/>
    </w:rPr>
  </w:style>
  <w:style w:type="paragraph" w:customStyle="1" w:styleId="11">
    <w:name w:val="二级标题"/>
    <w:basedOn w:val="1"/>
    <w:link w:val="12"/>
    <w:qFormat/>
    <w:uiPriority w:val="99"/>
    <w:pPr>
      <w:outlineLvl w:val="1"/>
    </w:pPr>
    <w:rPr>
      <w:rFonts w:eastAsia="黑体" w:asciiTheme="minorHAnsi" w:hAnsiTheme="minorHAnsi"/>
      <w:sz w:val="30"/>
    </w:rPr>
  </w:style>
  <w:style w:type="character" w:customStyle="1" w:styleId="12">
    <w:name w:val="二级标题 Char"/>
    <w:basedOn w:val="8"/>
    <w:link w:val="11"/>
    <w:qFormat/>
    <w:uiPriority w:val="99"/>
    <w:rPr>
      <w:rFonts w:eastAsia="黑体"/>
      <w:sz w:val="30"/>
    </w:rPr>
  </w:style>
  <w:style w:type="paragraph" w:customStyle="1" w:styleId="13">
    <w:name w:val="三级标题"/>
    <w:basedOn w:val="1"/>
    <w:link w:val="14"/>
    <w:qFormat/>
    <w:uiPriority w:val="99"/>
    <w:pPr>
      <w:outlineLvl w:val="2"/>
    </w:pPr>
    <w:rPr>
      <w:rFonts w:eastAsia="黑体" w:asciiTheme="minorHAnsi" w:hAnsiTheme="minorHAnsi"/>
      <w:sz w:val="28"/>
    </w:rPr>
  </w:style>
  <w:style w:type="character" w:customStyle="1" w:styleId="14">
    <w:name w:val="三级标题 Char"/>
    <w:basedOn w:val="8"/>
    <w:link w:val="13"/>
    <w:qFormat/>
    <w:uiPriority w:val="99"/>
    <w:rPr>
      <w:rFonts w:eastAsia="黑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Company>
  <Pages>3</Pages>
  <Words>1339</Words>
  <Characters>1429</Characters>
  <Lines>14</Lines>
  <Paragraphs>4</Paragraphs>
  <TotalTime>5</TotalTime>
  <ScaleCrop>false</ScaleCrop>
  <LinksUpToDate>false</LinksUpToDate>
  <CharactersWithSpaces>1447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2020-08-11T07:34:00Z</dcterms:created>
  <dc:creator>Yc</dc:creator>
  <cp:lastModifiedBy>紫阳真人</cp:lastModifiedBy>
  <dcterms:modified xsi:type="dcterms:W3CDTF">2022-08-31T23:56:16Z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C992EA4F26AE48DF825CFBC647496DC4</vt:lpwstr>
  </property>
</Properties>
</file>